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TERMO DE REFERÊNCIA</w:t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REFORMA DO AUDITÓRIO (BLOCO 04) – CAMPUS CHARQUEADAS IFSUL </w:t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hd w:val="clear" w:color="auto" w:fill="FFFFFF"/>
        <w:suppressAutoHyphens w:val="false"/>
        <w:spacing w:before="0" w:after="120"/>
        <w:ind w:left="1068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1. </w:t>
      </w:r>
      <w:r>
        <w:rPr>
          <w:rFonts w:cs="Arial"/>
          <w:b/>
          <w:sz w:val="24"/>
          <w:szCs w:val="24"/>
        </w:rPr>
        <w:t>OBJETO</w:t>
      </w:r>
    </w:p>
    <w:tbl>
      <w:tblPr>
        <w:tblStyle w:val="Tabelacomgrade"/>
        <w:tblW w:w="9629" w:type="dxa"/>
        <w:jc w:val="left"/>
        <w:tblInd w:w="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1"/>
        <w:gridCol w:w="3469"/>
        <w:gridCol w:w="1124"/>
        <w:gridCol w:w="1485"/>
        <w:gridCol w:w="1"/>
        <w:gridCol w:w="1244"/>
        <w:gridCol w:w="1574"/>
      </w:tblGrid>
      <w:tr>
        <w:trPr/>
        <w:tc>
          <w:tcPr>
            <w:tcW w:w="7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pt-BR" w:bidi="ar-SA"/>
              </w:rPr>
              <w:t>Item</w:t>
            </w:r>
          </w:p>
        </w:tc>
        <w:tc>
          <w:tcPr>
            <w:tcW w:w="346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pt-BR" w:bidi="ar-SA"/>
              </w:rPr>
              <w:t>Descrição</w:t>
            </w:r>
          </w:p>
        </w:tc>
        <w:tc>
          <w:tcPr>
            <w:tcW w:w="112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pt-BR" w:bidi="ar-SA"/>
              </w:rPr>
              <w:t>Unidade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pt-BR" w:bidi="ar-SA"/>
              </w:rPr>
              <w:t>Quantidade</w:t>
            </w:r>
          </w:p>
        </w:tc>
        <w:tc>
          <w:tcPr>
            <w:tcW w:w="124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pt-BR" w:bidi="ar-SA"/>
              </w:rPr>
              <w:t>Valor Unitário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pt-BR" w:bidi="ar-SA"/>
              </w:rPr>
              <w:t>Valor Total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1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 xml:space="preserve">Remoção das luminárias tipo calha </w:t>
            </w:r>
            <w:r>
              <w:rPr>
                <w:kern w:val="0"/>
                <w:sz w:val="24"/>
                <w:szCs w:val="24"/>
                <w:lang w:val="pt-BR" w:bidi="ar-SA"/>
              </w:rPr>
              <w:t>em LED</w:t>
            </w:r>
            <w:r>
              <w:rPr>
                <w:kern w:val="0"/>
                <w:sz w:val="24"/>
                <w:szCs w:val="24"/>
                <w:lang w:val="pt-BR" w:bidi="ar-SA"/>
              </w:rPr>
              <w:t>, de embutir, com reaproveitamento. Essa remoção deverá ser executada com extremo cuidado, pois as luminárias serão reinstaladas nas suas posições originais.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30,00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R$ 11,65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R$ 349,50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2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 xml:space="preserve">Remoção do forro de gesso já existente, </w:t>
            </w:r>
            <w:r>
              <w:rPr>
                <w:kern w:val="0"/>
                <w:sz w:val="24"/>
                <w:szCs w:val="24"/>
                <w:lang w:val="pt-BR" w:bidi="ar-SA"/>
              </w:rPr>
              <w:t>de forma manual</w:t>
            </w:r>
            <w:r>
              <w:rPr>
                <w:kern w:val="0"/>
                <w:sz w:val="24"/>
                <w:szCs w:val="24"/>
                <w:lang w:val="pt-BR" w:bidi="ar-SA"/>
              </w:rPr>
              <w:t>, incluindo a estrutura de sustentação.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318,00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R$ 5,36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R$ 1.705,28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3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 xml:space="preserve">Carga manual e transporte de entulho com caminhão basculante. 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 xml:space="preserve">Todos os resíduos deverão ser descartados corretamente de acordo com as normas ambientais vigentes, com a devida comprovação de destinação. 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>P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>rovenientes da demolição do forro, se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>rão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 xml:space="preserve"> composto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>s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 xml:space="preserve"> basicamente por gesso e madeira. De acordo com a Resolução CONAMA 307/2002, esses resíduos são classificados como Classe B (recicláveis).</w:t>
            </w:r>
            <w:r>
              <w:rPr>
                <w:shd w:fill="auto" w:val="clear"/>
              </w:rPr>
              <w:t xml:space="preserve"> </w:t>
            </w:r>
            <w:r>
              <w:rPr>
                <w:rFonts w:cs="Arial"/>
                <w:b w:val="false"/>
                <w:bCs w:val="false"/>
                <w:sz w:val="24"/>
                <w:szCs w:val="24"/>
                <w:shd w:fill="auto" w:val="clear"/>
              </w:rPr>
              <w:t>Será exigido da CONTRATADA o Manifesto de Transporte de Resíduos (MTR) e o certificado de destinação final dos resíduos gerados durante a execução da obra.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m³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50,00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R$ 76,08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R$ 3.803,75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4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Fornecimento de lona plástica e enlonamento de todo o mobiliário e demais equipamentos existentes no auditório. Previamente a execução dos serviços, todas as cadeiras estofadas, caixas de som, mesas, microfones e demais itens deverão ser cobertos com lona, visando a sua proteção contra a ação da poeira e/ou outras intempéries. Não será autorizada a execução dos demais serviços sem que este item (enlonamento) tenha sido concluído.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318,00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 4,18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R$ 1.327,65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5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Fornecimento de andaime modular do tipo fachadeiro, incluindo montagem e desmontagem, com piso metálico, com largura da plataforma de trabalho mínima de </w:t>
            </w:r>
            <w:r>
              <w:rPr>
                <w:b/>
                <w:bCs/>
                <w:kern w:val="0"/>
                <w:sz w:val="24"/>
                <w:szCs w:val="24"/>
                <w:shd w:fill="auto" w:val="clear"/>
                <w:lang w:val="pt-BR" w:bidi="ar-SA"/>
              </w:rPr>
              <w:t>60 cm</w:t>
            </w:r>
            <w:r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pt-BR" w:bidi="ar-SA"/>
              </w:rPr>
              <w:t>.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 A cota de instalação do forro é variável (devido à inclinação existente no piso do auditório), estando compreendida entre </w:t>
            </w:r>
            <w:r>
              <w:rPr>
                <w:b/>
                <w:bCs/>
                <w:kern w:val="0"/>
                <w:sz w:val="24"/>
                <w:szCs w:val="24"/>
                <w:shd w:fill="auto" w:val="clear"/>
                <w:lang w:val="pt-BR" w:bidi="ar-SA"/>
              </w:rPr>
              <w:t>5,3 m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 e </w:t>
            </w:r>
            <w:r>
              <w:rPr>
                <w:b/>
                <w:bCs/>
                <w:kern w:val="0"/>
                <w:sz w:val="24"/>
                <w:szCs w:val="24"/>
                <w:shd w:fill="auto" w:val="clear"/>
                <w:lang w:val="pt-BR" w:bidi="ar-SA"/>
              </w:rPr>
              <w:t>6,30 m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. Dessa maneira, o andaime deverá ser ajustado para atender as alturas de instalação. O anexo 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1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 apresenta o corte do auditório, no qual é possível visualizar a inclinação do piso existente.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50,00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R$ 45,89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R$ 2.294,38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6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Reinstalação das luminárias tipo calha 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em LED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, de embutir. 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Deverão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 ser respeitadas as  posições originais 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das luminárias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Unid.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30,00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R$ 11,65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R$ 349,50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7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Raspagem de pintura antiga em parede de alvenaria com reboco. Todo o pó gerado durante o processo de raspagem deverá ser removido, deixando a superfície pronta para receber a aplicação de massa corrida.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405,00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 5,68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R$ 2.298,38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8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before="0" w:after="0"/>
              <w:jc w:val="both"/>
              <w:rPr>
                <w:rFonts w:ascii="Times New Roman" w:hAnsi="Times New Roman" w:cs="Arial"/>
                <w:color w:val="000000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color w:val="000000"/>
                <w:kern w:val="0"/>
                <w:sz w:val="24"/>
                <w:szCs w:val="24"/>
                <w:lang w:val="pt-BR" w:bidi="ar-SA"/>
              </w:rPr>
              <w:t xml:space="preserve">Emassamento de paredes internas, com aplicação de </w:t>
            </w:r>
            <w:r>
              <w:rPr>
                <w:rFonts w:cs="Arial"/>
                <w:b/>
                <w:bCs/>
                <w:color w:val="000000"/>
                <w:kern w:val="0"/>
                <w:sz w:val="24"/>
                <w:szCs w:val="24"/>
                <w:lang w:val="pt-BR" w:bidi="ar-SA"/>
              </w:rPr>
              <w:t>uma demão</w:t>
            </w:r>
            <w:r>
              <w:rPr>
                <w:rFonts w:cs="Arial"/>
                <w:color w:val="000000"/>
                <w:kern w:val="0"/>
                <w:sz w:val="24"/>
                <w:szCs w:val="24"/>
                <w:lang w:val="pt-BR" w:bidi="ar-SA"/>
              </w:rPr>
              <w:t xml:space="preserve"> de massa corrida de primeira qualidade, incluindo lixamento, de forma a sanar todas as irregularidades da superfície. </w:t>
            </w:r>
            <w:r>
              <w:rPr>
                <w:rFonts w:cs="Arial"/>
                <w:color w:val="000000"/>
                <w:kern w:val="0"/>
                <w:sz w:val="24"/>
                <w:szCs w:val="24"/>
                <w:lang w:val="pt-BR" w:bidi="ar-SA"/>
              </w:rPr>
              <w:t>Após a conclusão do serviço, a superfície deverá estar apta para receber a aplicação da pintura.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405,00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R$ 15,35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R$ 6.216,75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9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Pintura interna de paredes com tinta látex PVA</w:t>
            </w:r>
            <w:r>
              <w:rPr>
                <w:rFonts w:cs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 xml:space="preserve"> de primeira linha, na cor </w:t>
            </w:r>
            <w:r>
              <w:rPr>
                <w:rFonts w:cs="Arial"/>
                <w:b/>
                <w:bCs/>
                <w:i w:val="false"/>
                <w:iCs w:val="false"/>
                <w:color w:val="000000"/>
                <w:sz w:val="24"/>
                <w:szCs w:val="24"/>
              </w:rPr>
              <w:t>palha</w:t>
            </w:r>
            <w:r>
              <w:rPr>
                <w:rFonts w:cs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ou outra tonalidade similar (a depender da atualização da nomenclatura da paleta de cores do fabricante), acabamento 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</w:rPr>
              <w:t>fosco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. A pintura deverá ser feita com aplicação de, no mínimo, </w:t>
            </w:r>
            <w:r>
              <w:rPr>
                <w:rFonts w:cs="Arial"/>
                <w:b/>
                <w:i w:val="false"/>
                <w:iCs w:val="false"/>
                <w:color w:val="000000"/>
                <w:sz w:val="24"/>
                <w:szCs w:val="24"/>
              </w:rPr>
              <w:t>duas demãos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de tinta, ou até a efetiva colorização e cobrimento da superfície, de modo a cobrir todas as manchas da parede. Deverá ser utilizada fita de papel gomado para acabamento, tomando-se o cuidado para não haver respingos em outras paredes, pisos ou aberturas. O ambiente deverá ser entregue limpo e organizado ao final da pintura.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405,00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R$ 27,33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R$ 11.066,63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10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 xml:space="preserve">Instalação de forro modular de PVC na cor </w:t>
            </w:r>
            <w:r>
              <w:rPr>
                <w:b/>
                <w:bCs/>
                <w:kern w:val="0"/>
                <w:sz w:val="24"/>
                <w:szCs w:val="24"/>
                <w:lang w:val="pt-BR" w:bidi="ar-SA"/>
              </w:rPr>
              <w:t>branca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com dimensões </w:t>
            </w:r>
            <w:r>
              <w:rPr>
                <w:b/>
                <w:bCs/>
                <w:kern w:val="0"/>
                <w:sz w:val="24"/>
                <w:szCs w:val="24"/>
                <w:lang w:val="pt-BR" w:bidi="ar-SA"/>
              </w:rPr>
              <w:t>1245 mm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(comprimento) x </w:t>
            </w:r>
            <w:r>
              <w:rPr>
                <w:b/>
                <w:bCs/>
                <w:kern w:val="0"/>
                <w:sz w:val="24"/>
                <w:szCs w:val="24"/>
                <w:lang w:val="pt-BR" w:bidi="ar-SA"/>
              </w:rPr>
              <w:t>618 mm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(largura) x </w:t>
            </w:r>
            <w:r>
              <w:rPr>
                <w:b/>
                <w:bCs/>
                <w:kern w:val="0"/>
                <w:sz w:val="24"/>
                <w:szCs w:val="24"/>
                <w:lang w:val="pt-BR" w:bidi="ar-SA"/>
              </w:rPr>
              <w:t>10 mm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(espessura). A modulação final com os perfis de instalação deverá respeitar as dimensões </w:t>
            </w:r>
            <w:r>
              <w:rPr>
                <w:b/>
                <w:bCs/>
                <w:kern w:val="0"/>
                <w:sz w:val="24"/>
                <w:szCs w:val="24"/>
                <w:lang w:val="pt-BR" w:bidi="ar-SA"/>
              </w:rPr>
              <w:t>1250 mm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(comprimento) x </w:t>
            </w:r>
            <w:r>
              <w:rPr>
                <w:b/>
                <w:bCs/>
                <w:kern w:val="0"/>
                <w:sz w:val="24"/>
                <w:szCs w:val="24"/>
                <w:lang w:val="pt-BR" w:bidi="ar-SA"/>
              </w:rPr>
              <w:t>625 mm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(largura). Com relação aos tipos de encaixe, serão empregados perfis galvanizados do tipo “L” nos arremates junto às paredes e do tipo “T” invertido para sustentação das placas. As placas de PVC deverão ter a aparência do tipo </w:t>
            </w:r>
            <w:r>
              <w:rPr>
                <w:b/>
                <w:bCs/>
                <w:kern w:val="0"/>
                <w:sz w:val="24"/>
                <w:szCs w:val="24"/>
                <w:lang w:val="pt-BR" w:bidi="ar-SA"/>
              </w:rPr>
              <w:t>lisa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. O anexo </w:t>
            </w:r>
            <w:r>
              <w:rPr>
                <w:kern w:val="0"/>
                <w:sz w:val="24"/>
                <w:szCs w:val="24"/>
                <w:lang w:val="pt-BR" w:bidi="ar-SA"/>
              </w:rPr>
              <w:t>2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apresenta a planta baixa do auditório, local onde os serviços serão executados, incluindo a paginação do forro. Já no anexo </w:t>
            </w:r>
            <w:r>
              <w:rPr>
                <w:kern w:val="0"/>
                <w:sz w:val="24"/>
                <w:szCs w:val="24"/>
                <w:lang w:val="pt-BR" w:bidi="ar-SA"/>
              </w:rPr>
              <w:t>3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é ilustrado o acabamento e o aspecto esperados após a conclusão do serviço.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318,00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R$ 212,10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R$ 67.447,80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11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 xml:space="preserve">Lixamento do piso de madeira </w:t>
            </w:r>
            <w:r>
              <w:rPr>
                <w:kern w:val="0"/>
                <w:sz w:val="24"/>
                <w:szCs w:val="24"/>
                <w:lang w:val="pt-BR" w:bidi="ar-SA"/>
              </w:rPr>
              <w:t>em tábua corrida para remoção do verniz existente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(palco do auditório), inclui</w:t>
            </w:r>
            <w:r>
              <w:rPr>
                <w:kern w:val="0"/>
                <w:sz w:val="24"/>
                <w:szCs w:val="24"/>
                <w:lang w:val="pt-BR" w:bidi="ar-SA"/>
              </w:rPr>
              <w:t>ndo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a</w:t>
            </w:r>
            <w:r>
              <w:rPr>
                <w:kern w:val="0"/>
                <w:sz w:val="24"/>
                <w:szCs w:val="24"/>
                <w:lang w:val="pt-BR" w:bidi="ar-SA"/>
              </w:rPr>
              <w:t>s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escada</w:t>
            </w:r>
            <w:r>
              <w:rPr>
                <w:kern w:val="0"/>
                <w:sz w:val="24"/>
                <w:szCs w:val="24"/>
                <w:lang w:val="pt-BR" w:bidi="ar-SA"/>
              </w:rPr>
              <w:t>s</w:t>
            </w:r>
            <w:r>
              <w:rPr>
                <w:kern w:val="0"/>
                <w:sz w:val="24"/>
                <w:szCs w:val="24"/>
                <w:lang w:val="pt-BR" w:bidi="ar-SA"/>
              </w:rPr>
              <w:t xml:space="preserve"> de acesso. Inicialmente, deverão ser utilizadas lixas de granulometria grossa e média, sendo o serviço finalizado com a aplicação de lixas finas. Após o lixamento, todo o pó oriundo da madeira deverá ser removido, deixando a superfície pronta para receber a aplicação de verniz. 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73,00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 27,30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R$ 1.992,90</w:t>
            </w:r>
          </w:p>
        </w:tc>
      </w:tr>
      <w:tr>
        <w:trPr/>
        <w:tc>
          <w:tcPr>
            <w:tcW w:w="73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12</w:t>
            </w:r>
          </w:p>
        </w:tc>
        <w:tc>
          <w:tcPr>
            <w:tcW w:w="3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Aplicação de verniz do tipo s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inteco </w:t>
            </w:r>
            <w:r>
              <w:rPr>
                <w:b/>
                <w:bCs/>
                <w:kern w:val="0"/>
                <w:sz w:val="24"/>
                <w:szCs w:val="24"/>
                <w:shd w:fill="auto" w:val="clear"/>
                <w:lang w:val="pt-BR" w:bidi="ar-SA"/>
              </w:rPr>
              <w:t>brilhoso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 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ou similar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, 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em piso de madeira do tipo tábua corrida (palco do auditório), incluindo as escadas de acesso. Aplicação de </w:t>
            </w:r>
            <w:r>
              <w:rPr>
                <w:b/>
                <w:bCs/>
                <w:kern w:val="0"/>
                <w:sz w:val="24"/>
                <w:szCs w:val="24"/>
                <w:shd w:fill="auto" w:val="clear"/>
                <w:lang w:val="pt-BR" w:bidi="ar-SA"/>
              </w:rPr>
              <w:t>duas demãos</w:t>
            </w:r>
            <w:r>
              <w:rPr>
                <w:b w:val="false"/>
                <w:bCs w:val="false"/>
                <w:kern w:val="0"/>
                <w:sz w:val="24"/>
                <w:szCs w:val="24"/>
                <w:shd w:fill="auto" w:val="clear"/>
                <w:lang w:val="pt-BR" w:bidi="ar-SA"/>
              </w:rPr>
              <w:t xml:space="preserve"> de verniz</w:t>
            </w:r>
            <w:r>
              <w:rPr>
                <w:kern w:val="0"/>
                <w:sz w:val="24"/>
                <w:szCs w:val="24"/>
                <w:shd w:fill="auto" w:val="clear"/>
                <w:lang w:val="pt-BR" w:bidi="ar-SA"/>
              </w:rPr>
              <w:t>. Nos locais onde for necessário, será feita a calafetação das juntas do piso com massa do tipo F-12.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m²</w:t>
            </w:r>
          </w:p>
        </w:tc>
        <w:tc>
          <w:tcPr>
            <w:tcW w:w="14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kern w:val="0"/>
                <w:sz w:val="24"/>
                <w:szCs w:val="24"/>
                <w:lang w:val="pt-BR" w:bidi="ar-SA"/>
              </w:rPr>
              <w:t>73,00</w:t>
            </w:r>
          </w:p>
        </w:tc>
        <w:tc>
          <w:tcPr>
            <w:tcW w:w="1245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R$ 34,13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R$ 2.491,13</w:t>
            </w:r>
          </w:p>
        </w:tc>
      </w:tr>
      <w:tr>
        <w:trPr/>
        <w:tc>
          <w:tcPr>
            <w:tcW w:w="6810" w:type="dxa"/>
            <w:gridSpan w:val="5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VALOR TOTAL (R$)</w:t>
            </w:r>
          </w:p>
        </w:tc>
        <w:tc>
          <w:tcPr>
            <w:tcW w:w="2818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R$ 101.343,6</w:t>
            </w:r>
            <w:r>
              <w:rPr>
                <w:b/>
                <w:bCs/>
                <w:sz w:val="24"/>
                <w:szCs w:val="24"/>
                <w:shd w:fill="auto" w:val="clear"/>
              </w:rPr>
              <w:t>5</w:t>
            </w:r>
          </w:p>
        </w:tc>
      </w:tr>
    </w:tbl>
    <w:p>
      <w:pPr>
        <w:pStyle w:val="Normal"/>
        <w:shd w:val="clear" w:color="auto" w:fill="FFFFFF"/>
        <w:spacing w:before="0" w:after="120"/>
        <w:ind w:firstLine="708"/>
        <w:contextualSpacing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FFFFFF"/>
        <w:spacing w:before="0" w:after="120"/>
        <w:ind w:firstLine="708"/>
        <w:contextualSpacing/>
        <w:jc w:val="both"/>
        <w:rPr>
          <w:rFonts w:ascii="Times New Roman" w:hAnsi="Times New Roman"/>
        </w:rPr>
      </w:pPr>
      <w:r>
        <w:rPr>
          <w:rFonts w:cs="Arial"/>
          <w:b/>
        </w:rPr>
        <w:t>2. JUSTIFICATIVA</w:t>
      </w:r>
    </w:p>
    <w:p>
      <w:pPr>
        <w:pStyle w:val="Normal"/>
        <w:spacing w:before="0" w:after="0"/>
        <w:ind w:firstLine="708"/>
        <w:contextualSpacing/>
        <w:jc w:val="both"/>
        <w:rPr>
          <w:rFonts w:ascii="Times New Roman" w:hAnsi="Times New Roman"/>
        </w:rPr>
      </w:pPr>
      <w:r>
        <w:rPr>
          <w:rFonts w:cs="Arial"/>
        </w:rPr>
        <w:t xml:space="preserve">O objeto desta licitação trata da </w:t>
      </w:r>
      <w:r>
        <w:rPr>
          <w:rFonts w:cs="Arial"/>
        </w:rPr>
        <w:t>reforma</w:t>
      </w:r>
      <w:r>
        <w:rPr>
          <w:rFonts w:cs="Arial"/>
        </w:rPr>
        <w:t xml:space="preserve"> do auditório do Campus Charqueadas, </w:t>
      </w:r>
      <w:r>
        <w:rPr>
          <w:rFonts w:cs="Arial"/>
        </w:rPr>
        <w:t>ambiente</w:t>
      </w:r>
      <w:r>
        <w:rPr>
          <w:rFonts w:cs="Arial"/>
        </w:rPr>
        <w:t xml:space="preserve"> </w:t>
      </w:r>
      <w:r>
        <w:rPr>
          <w:rFonts w:cs="Arial"/>
        </w:rPr>
        <w:t xml:space="preserve">que </w:t>
      </w:r>
      <w:r>
        <w:rPr>
          <w:rFonts w:cs="Arial"/>
        </w:rPr>
        <w:t>apresenta desgaste devido ao tempo de uso e às infiltrações ocasionadas por vazamentos existentes no telhado. Devido ao fato de ser um dos únicos auditórios existentes na região, esse ambiente é bastante solicitado por outras entidades como, por exemplo, a Prefeitura Municipal de Charqueadas, a Brigada Militar, o Corpo de Bombeiros Militar, dentre outros. De forma adicional, trata-se de um ambiente de uso comum utilizado com bastante frequência pela comunidade acadêmica do campus, recebendo diversos eventos de pesquisa e extensão. Sendo assim, justifica-se a realização de tal reforma.</w:t>
      </w:r>
    </w:p>
    <w:p>
      <w:pPr>
        <w:pStyle w:val="Normal"/>
        <w:shd w:val="clear" w:color="auto" w:fill="FFFFFF"/>
        <w:spacing w:before="0" w:after="0"/>
        <w:ind w:firstLine="708"/>
        <w:contextualSpacing/>
        <w:jc w:val="both"/>
        <w:rPr>
          <w:rFonts w:ascii="Times New Roman" w:hAnsi="Times New Roman" w:cs="Arial"/>
          <w:b/>
          <w:b/>
        </w:rPr>
      </w:pPr>
      <w:r>
        <w:rPr>
          <w:rFonts w:cs="Arial"/>
          <w:b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before="0" w:after="0"/>
        <w:ind w:firstLine="708"/>
        <w:contextualSpacing/>
        <w:jc w:val="both"/>
        <w:rPr>
          <w:rFonts w:ascii="Times New Roman" w:hAnsi="Times New Roman"/>
        </w:rPr>
      </w:pPr>
      <w:r>
        <w:rPr>
          <w:rFonts w:cs="Arial"/>
          <w:b/>
        </w:rPr>
        <w:t>3. ESPECIFICAÇÕES DO MATERIAL</w:t>
      </w:r>
    </w:p>
    <w:p>
      <w:pPr>
        <w:pStyle w:val="Normal"/>
        <w:spacing w:before="0" w:after="0"/>
        <w:ind w:firstLine="708"/>
        <w:contextualSpacing/>
        <w:jc w:val="both"/>
        <w:rPr>
          <w:rFonts w:ascii="Times New Roman" w:hAnsi="Times New Roman"/>
        </w:rPr>
      </w:pPr>
      <w:r>
        <w:rPr>
          <w:rFonts w:cs="Arial"/>
        </w:rPr>
        <w:t xml:space="preserve">Deverão ser rigorosamente observadas as especificações dos materiais objeto deste Termo de Referência (itens 1 a </w:t>
      </w:r>
      <w:r>
        <w:rPr>
          <w:rFonts w:cs="Arial"/>
        </w:rPr>
        <w:t>12</w:t>
      </w:r>
      <w:r>
        <w:rPr>
          <w:rFonts w:cs="Arial"/>
        </w:rPr>
        <w:t>), respeitando-se os requisitos mínimos exigidos, sem preferência de marcas, por mais semelhanças que estas possam vir a ter com as existentes no mercado. Serão aceitos produtos com especificações iguais ou superiores.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 w:cs="Arial"/>
        </w:rPr>
      </w:pPr>
      <w:r>
        <w:rPr>
          <w:rFonts w:cs="Arial"/>
        </w:rPr>
      </w:r>
    </w:p>
    <w:p>
      <w:pPr>
        <w:pStyle w:val="Normal"/>
        <w:shd w:val="clear" w:color="auto" w:fill="FFFFFF"/>
        <w:spacing w:before="0" w:after="0"/>
        <w:ind w:firstLine="708"/>
        <w:contextualSpacing/>
        <w:jc w:val="both"/>
        <w:rPr>
          <w:rFonts w:ascii="Times New Roman" w:hAnsi="Times New Roman"/>
        </w:rPr>
      </w:pPr>
      <w:r>
        <w:rPr>
          <w:rFonts w:cs="Arial"/>
          <w:b/>
        </w:rPr>
        <w:t>4. PRESCRIÇÕES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cs="Arial"/>
        </w:rPr>
        <w:tab/>
        <w:t>Além das especificações acima, deverão ser observadas as prescrições a seguir, todas condicionantes da aceitação da Proposta de Preços e do recebimento do material licitado: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Não serão aceitos produtos/serviços em desacordo com as especificações constantes no presente Termo de Referência;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Havendo divergência nas especificações entre o Edital e o SIDEC, o fornecedor deverá atender as constantes no Edital;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Nenhum produto constante no presente Termo de Referência poderá ser remanufaturado, recondicionado, reciclado ou de segunda mão;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Todo o material deverá ser novo, produzido por empresa especializada e legalmente estabelecida;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Os bens deverão ser fornecidos, obrigatoriamente, de acordo com as especificações constantes da proposta e o prazo de entrega obedecido rigorosamente;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 prazo de validade da proposta não poderá ser inferior a 60 (sessenta) dias a contar da data de abertura das Propostas de Preços;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 prazo de garantia, validade do material/serviço não poderá ser inferior a 12 (doze) meses, a contar da data de emissão d</w:t>
      </w:r>
      <w:r>
        <w:rPr>
          <w:rFonts w:cs="Arial" w:ascii="Times New Roman" w:hAnsi="Times New Roman"/>
          <w:sz w:val="24"/>
          <w:szCs w:val="24"/>
        </w:rPr>
        <w:t>o</w:t>
      </w:r>
      <w:r>
        <w:rPr>
          <w:rFonts w:cs="Arial" w:ascii="Times New Roman" w:hAnsi="Times New Roman"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>Termo de Recebimento Definitivo</w:t>
      </w:r>
      <w:r>
        <w:rPr>
          <w:rFonts w:cs="Arial" w:ascii="Times New Roman" w:hAnsi="Times New Roman"/>
          <w:sz w:val="24"/>
          <w:szCs w:val="24"/>
        </w:rPr>
        <w:t>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 pagamento será efetuado em até 30 (trinta) dias, contados d</w:t>
      </w:r>
      <w:r>
        <w:rPr>
          <w:rFonts w:cs="Arial" w:ascii="Times New Roman" w:hAnsi="Times New Roman"/>
          <w:sz w:val="24"/>
          <w:szCs w:val="24"/>
        </w:rPr>
        <w:t>a</w:t>
      </w:r>
      <w:r>
        <w:rPr>
          <w:rFonts w:cs="Arial" w:ascii="Times New Roman" w:hAnsi="Times New Roman"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>emissão da Nota Fiscal</w:t>
      </w:r>
      <w:r>
        <w:rPr>
          <w:rFonts w:cs="Arial" w:ascii="Times New Roman" w:hAnsi="Times New Roman"/>
          <w:sz w:val="24"/>
          <w:szCs w:val="24"/>
        </w:rPr>
        <w:t>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Deverão ser utilizados andaimes do tipo fachadeiro e todos os EPIs necessários para a realização dos serviços em altura. Os prestadores deverão ter comprovação dos cursos de </w:t>
      </w:r>
      <w:r>
        <w:rPr>
          <w:rFonts w:cs="Arial" w:ascii="Times New Roman" w:hAnsi="Times New Roman"/>
          <w:b/>
          <w:bCs/>
          <w:sz w:val="24"/>
          <w:szCs w:val="24"/>
        </w:rPr>
        <w:t>NR-35</w:t>
      </w:r>
      <w:r>
        <w:rPr>
          <w:rFonts w:cs="Arial" w:ascii="Times New Roman" w:hAnsi="Times New Roman"/>
          <w:sz w:val="24"/>
          <w:szCs w:val="24"/>
        </w:rPr>
        <w:t xml:space="preserve"> para trabalho em altura considerando a altura do teto como aproximadamente 6 (seis) metros;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A CONTRATADA deverá fornecer garantia mínima de 12 meses para as instalações elétricas; 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Deverá ser providenciada uma lona de proteção para todo o mobiliário do auditório, assim como para o piso em madeira do palco. Ainda, na área do piso do palco do auditório, deverá ser providenciada uma proteção para os “pés” dos andaimes, de forma a evitar o contato direto entre o ferro e a madeira. No caso de haver algum tipo de dano adicional no piso do palco, todo o reparo necessário ficará sob responsabilidade da CONTRATADA;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A CONTRATADA é responsável pela retirada e recolocação das luminárias existentes, comprometendo-se em protegê-las para que possam ser reinstaladas sem danos os quais, caso venham a ocorrer, deverão ser ressarcidos pela mesma;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highlight w:val="none"/>
          <w:shd w:fill="auto" w:val="clear"/>
        </w:rPr>
      </w:pPr>
      <w:r>
        <w:rPr>
          <w:rFonts w:cs="Arial" w:ascii="Times New Roman" w:hAnsi="Times New Roman"/>
          <w:b w:val="false"/>
          <w:bCs w:val="false"/>
          <w:sz w:val="24"/>
          <w:szCs w:val="24"/>
          <w:shd w:fill="auto" w:val="clear"/>
        </w:rPr>
        <w:t>Todos os resíduos deverão ser descartados corretamente de acordo com as normas ambientais vigentes com a devida comprovação de destinação. Eles serão provenientes da demolição do forro já existente, sendo composto basicamente por gesso e madeira. De acordo com a Resolução CONAMA 307/2002, esses resíduos são classificados como Classe B (recicláveis). Dessa forma, sugere-se que eles sejam encaminhados para alguma empresa especializada que recicle esse tipo de material. Será exigido da CONTRATADA o Manifesto de Transporte de Resíduos (MTR) e o certificado de destinação final dos resíduos gerados durante a execução da obra.</w:t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ascii="Times New Roman" w:hAnsi="Times New Roman" w:cs="Arial"/>
          <w:b/>
          <w:b/>
        </w:rPr>
      </w:pPr>
      <w:r>
        <w:rPr>
          <w:rFonts w:cs="Arial"/>
          <w:b/>
        </w:rPr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ascii="Times New Roman" w:hAnsi="Times New Roman"/>
        </w:rPr>
      </w:pPr>
      <w:r>
        <w:rPr>
          <w:rFonts w:cs="Arial"/>
          <w:b/>
        </w:rPr>
        <w:t>5. ENTREGA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O prazo para conclusão dos serviços deverá ser de, no máximo, </w:t>
      </w:r>
      <w:r>
        <w:rPr>
          <w:rFonts w:cs="Arial" w:ascii="Times New Roman" w:hAnsi="Times New Roman"/>
          <w:sz w:val="24"/>
          <w:szCs w:val="24"/>
        </w:rPr>
        <w:t>9</w:t>
      </w:r>
      <w:r>
        <w:rPr>
          <w:rFonts w:cs="Arial" w:ascii="Times New Roman" w:hAnsi="Times New Roman"/>
          <w:sz w:val="24"/>
          <w:szCs w:val="24"/>
        </w:rPr>
        <w:t>0 (</w:t>
      </w:r>
      <w:r>
        <w:rPr>
          <w:rFonts w:cs="Arial" w:ascii="Times New Roman" w:hAnsi="Times New Roman"/>
          <w:sz w:val="24"/>
          <w:szCs w:val="24"/>
        </w:rPr>
        <w:t>nov</w:t>
      </w:r>
      <w:r>
        <w:rPr>
          <w:rFonts w:cs="Arial" w:ascii="Times New Roman" w:hAnsi="Times New Roman"/>
          <w:sz w:val="24"/>
          <w:szCs w:val="24"/>
        </w:rPr>
        <w:t>enta) dias, contados a partir do recebimento da Ordem de Serviço;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 objeto será recebido provisoriamente, para posterior verificação da conformidade do material com as especificações do edital e seus anexos;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 recebimento provisório ocorrerá em até 15 (quinze) dias corridos, contados a partir da comunicação formal do término da obra por parte da CONTRATADA;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O recebimento definitivo ocorrerá em até </w:t>
      </w:r>
      <w:r>
        <w:rPr>
          <w:rFonts w:cs="Arial" w:ascii="Times New Roman" w:hAnsi="Times New Roman"/>
          <w:sz w:val="24"/>
          <w:szCs w:val="24"/>
        </w:rPr>
        <w:t>6</w:t>
      </w:r>
      <w:r>
        <w:rPr>
          <w:rFonts w:cs="Arial" w:ascii="Times New Roman" w:hAnsi="Times New Roman"/>
          <w:sz w:val="24"/>
          <w:szCs w:val="24"/>
        </w:rPr>
        <w:t>0 (</w:t>
      </w:r>
      <w:r>
        <w:rPr>
          <w:rFonts w:cs="Arial" w:ascii="Times New Roman" w:hAnsi="Times New Roman"/>
          <w:sz w:val="24"/>
          <w:szCs w:val="24"/>
        </w:rPr>
        <w:t>sess</w:t>
      </w:r>
      <w:r>
        <w:rPr>
          <w:rFonts w:cs="Arial" w:ascii="Times New Roman" w:hAnsi="Times New Roman"/>
          <w:sz w:val="24"/>
          <w:szCs w:val="24"/>
        </w:rPr>
        <w:t>enta) dias corridos, contados a partir do prazo final para o recebimento provisório;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Os recebimentos serão formalizados mediante relatórios de vistoria e atestados expedidos pela Administração;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A Administração rejeitará os bens fornecidos em desacordo com o edital e seus anexos, através de termo circunstanciado, no qual deverá constar o motivo da não aceitação do objeto;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Os bens que não atenderem às especificações deverão ser substituídos pelo licitante vencedor no prazo máximo de 20 (vinte) dias úteis, sob pena de aplicação das sanções previstas no edital e seus anexos;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>Os materiais e os serviços deverão ser entregues e executados no seguinte endereço:</w:t>
      </w:r>
    </w:p>
    <w:p>
      <w:pPr>
        <w:pStyle w:val="ListParagraph"/>
        <w:suppressAutoHyphens w:val="true"/>
        <w:spacing w:lineRule="auto" w:line="240" w:before="0" w:after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8"/>
        <w:gridCol w:w="4819"/>
      </w:tblGrid>
      <w:tr>
        <w:trPr>
          <w:trHeight w:val="467" w:hRule="atLeast"/>
        </w:trPr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color w:val="000000" w:themeColor="text1"/>
                <w:shd w:fill="auto" w:val="clear"/>
              </w:rPr>
              <w:t>UASG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hd w:fill="auto" w:val="clear"/>
              </w:rPr>
              <w:t>ENDEREÇO</w:t>
            </w:r>
          </w:p>
        </w:tc>
      </w:tr>
      <w:tr>
        <w:trPr/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cs="Arial"/>
                <w:bCs/>
                <w:color w:val="000000" w:themeColor="text1"/>
              </w:rPr>
              <w:t>158340 - Instituto Federal Sul-rio-grandense / Campus Charqueadas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cs="Arial"/>
                <w:bCs/>
              </w:rPr>
              <w:t>Rua General Balbão, nº 81, Bairro Centro, Charqueadas/RS. CEP 96.745-000</w:t>
            </w:r>
          </w:p>
        </w:tc>
      </w:tr>
    </w:tbl>
    <w:p>
      <w:pPr>
        <w:pStyle w:val="ListParagraph"/>
        <w:suppressAutoHyphens w:val="true"/>
        <w:spacing w:lineRule="auto" w:line="240" w:before="0" w:after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cs="Arial" w:ascii="Times New Roman" w:hAnsi="Times New Roman"/>
          <w:sz w:val="24"/>
          <w:szCs w:val="24"/>
        </w:rPr>
        <w:t xml:space="preserve">As entregas deverão ser agendadas pelo telefone </w:t>
      </w:r>
      <w:r>
        <w:rPr>
          <w:rFonts w:cs="Arial" w:ascii="Times New Roman" w:hAnsi="Times New Roman"/>
          <w:b/>
          <w:sz w:val="24"/>
          <w:szCs w:val="24"/>
        </w:rPr>
        <w:t xml:space="preserve">(51) 3658-3602 (Coordenadoria de Manutenção Geral - COMAG) </w:t>
      </w:r>
      <w:r>
        <w:rPr>
          <w:rFonts w:cs="Arial" w:ascii="Times New Roman" w:hAnsi="Times New Roman"/>
          <w:sz w:val="24"/>
          <w:szCs w:val="24"/>
        </w:rPr>
        <w:t>em horário comercial.</w:t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ascii="Times New Roman" w:hAnsi="Times New Roman" w:cs="Arial"/>
        </w:rPr>
      </w:pPr>
      <w:r>
        <w:rPr>
          <w:rFonts w:cs="Arial"/>
        </w:rPr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ascii="Times New Roman" w:hAnsi="Times New Roman"/>
        </w:rPr>
      </w:pPr>
      <w:r>
        <w:rPr>
          <w:rFonts w:cs="Arial"/>
          <w:b/>
        </w:rPr>
        <w:t>6. ANEXOS</w:t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ascii="Times New Roman" w:hAnsi="Times New Roman"/>
        </w:rPr>
      </w:pPr>
      <w:r>
        <w:rPr/>
      </w:r>
    </w:p>
    <w:p>
      <w:pPr>
        <w:pStyle w:val="Normal"/>
        <w:numPr>
          <w:ilvl w:val="0"/>
          <w:numId w:val="4"/>
        </w:numPr>
        <w:shd w:val="clear" w:color="auto" w:fill="FFFFFF"/>
        <w:spacing w:before="0" w:after="120"/>
        <w:contextualSpacing/>
        <w:jc w:val="both"/>
        <w:rPr>
          <w:rFonts w:cs="Arial"/>
          <w:b/>
          <w:b/>
          <w:bCs/>
        </w:rPr>
      </w:pPr>
      <w:r>
        <w:rPr>
          <w:rFonts w:cs="Arial"/>
          <w:b/>
          <w:bCs/>
        </w:rPr>
        <w:t xml:space="preserve">ANEXO </w:t>
      </w:r>
      <w:r>
        <w:rPr>
          <w:rFonts w:cs="Arial"/>
          <w:b/>
          <w:bCs/>
        </w:rPr>
        <w:t>1</w:t>
      </w:r>
      <w:r>
        <w:rPr>
          <w:rFonts w:cs="Arial"/>
          <w:b/>
          <w:bCs/>
        </w:rPr>
        <w:t xml:space="preserve"> – PLANTA DE CORTE DO AUDITÓRIO (INCLINAÇÃO DO PISO);</w:t>
      </w:r>
    </w:p>
    <w:p>
      <w:pPr>
        <w:pStyle w:val="Normal"/>
        <w:numPr>
          <w:ilvl w:val="0"/>
          <w:numId w:val="4"/>
        </w:numPr>
        <w:shd w:val="clear" w:color="auto" w:fill="FFFFFF"/>
        <w:spacing w:before="0" w:after="120"/>
        <w:contextualSpacing/>
        <w:jc w:val="both"/>
        <w:rPr>
          <w:rFonts w:cs="Arial"/>
          <w:b/>
          <w:b/>
          <w:bCs/>
        </w:rPr>
      </w:pPr>
      <w:r>
        <w:rPr>
          <w:rFonts w:cs="Arial"/>
          <w:b/>
          <w:bCs/>
        </w:rPr>
        <w:t xml:space="preserve">ANEXO </w:t>
      </w:r>
      <w:r>
        <w:rPr>
          <w:rFonts w:cs="Arial"/>
          <w:b/>
          <w:bCs/>
        </w:rPr>
        <w:t>2</w:t>
      </w:r>
      <w:r>
        <w:rPr>
          <w:rFonts w:cs="Arial"/>
          <w:b/>
          <w:bCs/>
        </w:rPr>
        <w:t xml:space="preserve"> – PLANTA BAIXA DO AUDITÓRIO E PAGINAÇÃO DO FORRO;</w:t>
      </w:r>
    </w:p>
    <w:p>
      <w:pPr>
        <w:pStyle w:val="Normal"/>
        <w:numPr>
          <w:ilvl w:val="0"/>
          <w:numId w:val="4"/>
        </w:numPr>
        <w:shd w:val="clear" w:color="auto" w:fill="FFFFFF"/>
        <w:spacing w:before="0" w:after="120"/>
        <w:contextualSpacing/>
        <w:jc w:val="both"/>
        <w:rPr>
          <w:rFonts w:cs="Arial"/>
          <w:b/>
          <w:b/>
          <w:bCs/>
        </w:rPr>
      </w:pPr>
      <w:r>
        <w:rPr>
          <w:rFonts w:cs="Arial"/>
          <w:b/>
          <w:bCs/>
        </w:rPr>
        <w:t xml:space="preserve">ANEXO </w:t>
      </w:r>
      <w:r>
        <w:rPr>
          <w:rFonts w:cs="Arial"/>
          <w:b/>
          <w:bCs/>
        </w:rPr>
        <w:t>3</w:t>
      </w:r>
      <w:r>
        <w:rPr>
          <w:rFonts w:cs="Arial"/>
          <w:b/>
          <w:bCs/>
        </w:rPr>
        <w:t xml:space="preserve"> – VISÃO GERAL FORRO MODULAR DE PVC;</w:t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hd w:val="clear" w:color="auto" w:fill="FFFFFF"/>
        <w:spacing w:before="0" w:after="120"/>
        <w:contextualSpacing/>
        <w:jc w:val="both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hd w:val="clear" w:color="auto" w:fill="FFFFFF"/>
        <w:spacing w:before="0" w:after="0"/>
        <w:contextualSpacing/>
        <w:jc w:val="right"/>
        <w:rPr>
          <w:rFonts w:cs="Arial"/>
        </w:rPr>
      </w:pPr>
      <w:r>
        <w:rPr>
          <w:rFonts w:cs="Arial"/>
        </w:rPr>
        <w:t xml:space="preserve">Charqueadas, </w:t>
      </w:r>
      <w:r>
        <w:rPr>
          <w:rFonts w:cs="Arial"/>
        </w:rPr>
        <w:t>07</w:t>
      </w:r>
      <w:r>
        <w:rPr>
          <w:rFonts w:cs="Arial"/>
        </w:rPr>
        <w:t xml:space="preserve"> de </w:t>
      </w:r>
      <w:r>
        <w:rPr>
          <w:rFonts w:cs="Arial"/>
        </w:rPr>
        <w:t>março</w:t>
      </w:r>
      <w:r>
        <w:rPr>
          <w:rFonts w:cs="Arial"/>
        </w:rPr>
        <w:t xml:space="preserve"> de 2023.</w:t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cs="Arial"/>
        </w:rPr>
      </w:pPr>
      <w:r>
        <w:rPr>
          <w:rFonts w:cs="Arial"/>
        </w:rPr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cs="Arial"/>
        </w:rPr>
      </w:pPr>
      <w:r>
        <w:rPr>
          <w:rFonts w:cs="Arial"/>
        </w:rPr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cs="Arial"/>
        </w:rPr>
      </w:pPr>
      <w:r>
        <w:rPr>
          <w:rFonts w:cs="Arial"/>
        </w:rPr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cs="Arial"/>
        </w:rPr>
      </w:pPr>
      <w:r>
        <w:rPr>
          <w:rFonts w:cs="Arial"/>
        </w:rPr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cs="Arial"/>
        </w:rPr>
      </w:pPr>
      <w:r>
        <w:rPr>
          <w:rFonts w:cs="Arial"/>
        </w:rPr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ascii="Times New Roman" w:hAnsi="Times New Roman"/>
        </w:rPr>
      </w:pPr>
      <w:r>
        <w:rPr>
          <w:rFonts w:cs="Arial"/>
        </w:rPr>
        <w:t>Daniel Wolter Martell</w:t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ascii="Times New Roman" w:hAnsi="Times New Roman"/>
        </w:rPr>
      </w:pPr>
      <w:r>
        <w:rPr/>
        <w:t>Engenheiro Civil (CREA/RS 176257) – IFSul Campus Charqueadas</w:t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ascii="Times New Roman" w:hAnsi="Times New Roman"/>
        </w:rPr>
      </w:pPr>
      <w:r>
        <w:rPr>
          <w:rFonts w:cs="Arial"/>
        </w:rPr>
        <w:t>Responsável pelo Termo de Referência</w:t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cs="Arial"/>
        </w:rPr>
      </w:pPr>
      <w:r>
        <w:rPr/>
      </w:r>
    </w:p>
    <w:p>
      <w:pPr>
        <w:pStyle w:val="Normal"/>
        <w:shd w:val="clear" w:color="auto" w:fill="FFFFFF"/>
        <w:spacing w:before="0" w:after="0"/>
        <w:contextualSpacing/>
        <w:jc w:val="center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"/>
      <w:lvlJc w:val="left"/>
      <w:pPr>
        <w:tabs>
          <w:tab w:val="num" w:pos="432"/>
        </w:tabs>
        <w:ind w:left="432" w:hanging="432"/>
      </w:pPr>
      <w:rPr/>
    </w:lvl>
    <w:lvl w:ilvl="1">
      <w:start w:val="1"/>
      <w:pStyle w:val="Ttulo2"/>
      <w:numFmt w:val="decimal"/>
      <w:lvlText w:val="%1.%2"/>
      <w:lvlJc w:val="left"/>
      <w:pPr>
        <w:tabs>
          <w:tab w:val="num" w:pos="576"/>
        </w:tabs>
        <w:ind w:left="576" w:hanging="576"/>
      </w:pPr>
      <w:rPr/>
    </w:lvl>
    <w:lvl w:ilvl="2">
      <w:start w:val="1"/>
      <w:pStyle w:val="Ttulo3"/>
      <w:numFmt w:val="decimal"/>
      <w:lvlText w:val="%1.%2.%3"/>
      <w:lvlJc w:val="left"/>
      <w:pPr>
        <w:tabs>
          <w:tab w:val="num" w:pos="720"/>
        </w:tabs>
        <w:ind w:left="720" w:hanging="720"/>
      </w:pPr>
      <w:rPr/>
    </w:lvl>
    <w:lvl w:ilvl="3">
      <w:start w:val="1"/>
      <w:pStyle w:val="Ttulo4"/>
      <w:numFmt w:val="decimal"/>
      <w:lvlText w:val="%1.%2.%3.%4"/>
      <w:lvlJc w:val="left"/>
      <w:pPr>
        <w:tabs>
          <w:tab w:val="num" w:pos="864"/>
        </w:tabs>
        <w:ind w:left="864" w:hanging="864"/>
      </w:pPr>
      <w:rPr/>
    </w:lvl>
    <w:lvl w:ilvl="4">
      <w:start w:val="1"/>
      <w:pStyle w:val="Ttulo5"/>
      <w:numFmt w:val="decimal"/>
      <w:lvlText w:val="%1.%2.%3.%4.%5"/>
      <w:lvlJc w:val="left"/>
      <w:pPr>
        <w:tabs>
          <w:tab w:val="num" w:pos="1008"/>
        </w:tabs>
        <w:ind w:left="1008" w:hanging="1008"/>
      </w:pPr>
      <w:rPr/>
    </w:lvl>
    <w:lvl w:ilvl="5">
      <w:start w:val="1"/>
      <w:pStyle w:val="Ttulo6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/>
    </w:lvl>
    <w:lvl w:ilvl="6">
      <w:start w:val="1"/>
      <w:pStyle w:val="Ttulo7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/>
    </w:lvl>
    <w:lvl w:ilvl="7">
      <w:start w:val="1"/>
      <w:pStyle w:val="Ttulo8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pStyle w:val="Ttulo9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sz w:val="24"/>
        <w:i w:val="false"/>
        <w:b w:val="false"/>
        <w:szCs w:val="24"/>
        <w:rFonts w:ascii="Times New Roman" w:hAnsi="Times New Roman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4"/>
        <w:i w:val="false"/>
        <w:b w:val="false"/>
        <w:szCs w:val="24"/>
        <w:rFonts w:ascii="Times New Roman" w:hAnsi="Times New Roman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6be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link w:val="Ttulo1Char"/>
    <w:qFormat/>
    <w:rsid w:val="00b46be1"/>
    <w:pPr>
      <w:keepNext w:val="true"/>
      <w:numPr>
        <w:ilvl w:val="0"/>
        <w:numId w:val="1"/>
      </w:numPr>
      <w:jc w:val="center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link w:val="Ttulo2Char"/>
    <w:qFormat/>
    <w:rsid w:val="00b46be1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b46be1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b46be1"/>
    <w:pPr>
      <w:keepNext w:val="true"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46be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b46be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b46be1"/>
    <w:pPr>
      <w:numPr>
        <w:ilvl w:val="6"/>
        <w:numId w:val="1"/>
      </w:numPr>
      <w:spacing w:before="240" w:after="60"/>
      <w:outlineLvl w:val="6"/>
    </w:pPr>
    <w:rPr/>
  </w:style>
  <w:style w:type="paragraph" w:styleId="Ttulo8">
    <w:name w:val="Heading 8"/>
    <w:basedOn w:val="Normal"/>
    <w:next w:val="Normal"/>
    <w:link w:val="Ttulo8Char"/>
    <w:qFormat/>
    <w:rsid w:val="00b46be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b46be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b46be1"/>
    <w:rPr>
      <w:rFonts w:ascii="Arial" w:hAnsi="Arial" w:eastAsia="Times New Roman" w:cs="Arial"/>
      <w:b/>
      <w:bCs/>
      <w:sz w:val="20"/>
      <w:szCs w:val="24"/>
      <w:lang w:eastAsia="zh-CN"/>
    </w:rPr>
  </w:style>
  <w:style w:type="character" w:styleId="Ttulo2Char" w:customStyle="1">
    <w:name w:val="Título 2 Char"/>
    <w:basedOn w:val="DefaultParagraphFont"/>
    <w:qFormat/>
    <w:rsid w:val="00b46be1"/>
    <w:rPr>
      <w:rFonts w:ascii="Arial" w:hAnsi="Arial" w:eastAsia="Times New Roman" w:cs="Arial"/>
      <w:b/>
      <w:bCs/>
      <w:i/>
      <w:iCs/>
      <w:sz w:val="28"/>
      <w:szCs w:val="28"/>
      <w:lang w:eastAsia="zh-CN"/>
    </w:rPr>
  </w:style>
  <w:style w:type="character" w:styleId="Ttulo3Char" w:customStyle="1">
    <w:name w:val="Título 3 Char"/>
    <w:basedOn w:val="DefaultParagraphFont"/>
    <w:qFormat/>
    <w:rsid w:val="00b46be1"/>
    <w:rPr>
      <w:rFonts w:ascii="Arial" w:hAnsi="Arial" w:eastAsia="Times New Roman" w:cs="Arial"/>
      <w:b/>
      <w:bCs/>
      <w:sz w:val="26"/>
      <w:szCs w:val="26"/>
      <w:lang w:eastAsia="zh-CN"/>
    </w:rPr>
  </w:style>
  <w:style w:type="character" w:styleId="Ttulo4Char" w:customStyle="1">
    <w:name w:val="Título 4 Char"/>
    <w:basedOn w:val="DefaultParagraphFont"/>
    <w:qFormat/>
    <w:rsid w:val="00b46be1"/>
    <w:rPr>
      <w:rFonts w:ascii="Times New Roman" w:hAnsi="Times New Roman" w:eastAsia="Times New Roman" w:cs="Times New Roman"/>
      <w:b/>
      <w:bCs/>
      <w:sz w:val="28"/>
      <w:szCs w:val="28"/>
      <w:lang w:eastAsia="zh-CN"/>
    </w:rPr>
  </w:style>
  <w:style w:type="character" w:styleId="Ttulo5Char" w:customStyle="1">
    <w:name w:val="Título 5 Char"/>
    <w:basedOn w:val="DefaultParagraphFont"/>
    <w:qFormat/>
    <w:rsid w:val="00b46be1"/>
    <w:rPr>
      <w:rFonts w:ascii="Times New Roman" w:hAnsi="Times New Roman" w:eastAsia="Times New Roman" w:cs="Times New Roman"/>
      <w:b/>
      <w:bCs/>
      <w:i/>
      <w:iCs/>
      <w:sz w:val="26"/>
      <w:szCs w:val="26"/>
      <w:lang w:eastAsia="zh-CN"/>
    </w:rPr>
  </w:style>
  <w:style w:type="character" w:styleId="Ttulo6Char" w:customStyle="1">
    <w:name w:val="Título 6 Char"/>
    <w:basedOn w:val="DefaultParagraphFont"/>
    <w:qFormat/>
    <w:rsid w:val="00b46be1"/>
    <w:rPr>
      <w:rFonts w:ascii="Times New Roman" w:hAnsi="Times New Roman" w:eastAsia="Times New Roman" w:cs="Times New Roman"/>
      <w:b/>
      <w:bCs/>
      <w:lang w:eastAsia="zh-CN"/>
    </w:rPr>
  </w:style>
  <w:style w:type="character" w:styleId="Ttulo7Char" w:customStyle="1">
    <w:name w:val="Título 7 Char"/>
    <w:basedOn w:val="DefaultParagraphFont"/>
    <w:qFormat/>
    <w:rsid w:val="00b46be1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Ttulo8Char" w:customStyle="1">
    <w:name w:val="Título 8 Char"/>
    <w:basedOn w:val="DefaultParagraphFont"/>
    <w:qFormat/>
    <w:rsid w:val="00b46be1"/>
    <w:rPr>
      <w:rFonts w:ascii="Times New Roman" w:hAnsi="Times New Roman" w:eastAsia="Times New Roman" w:cs="Times New Roman"/>
      <w:i/>
      <w:iCs/>
      <w:sz w:val="24"/>
      <w:szCs w:val="24"/>
      <w:lang w:eastAsia="zh-CN"/>
    </w:rPr>
  </w:style>
  <w:style w:type="character" w:styleId="Ttulo9Char" w:customStyle="1">
    <w:name w:val="Título 9 Char"/>
    <w:basedOn w:val="DefaultParagraphFont"/>
    <w:qFormat/>
    <w:rsid w:val="00b46be1"/>
    <w:rPr>
      <w:rFonts w:ascii="Arial" w:hAnsi="Arial" w:eastAsia="Times New Roman" w:cs="Arial"/>
      <w:lang w:eastAsia="zh-CN"/>
    </w:rPr>
  </w:style>
  <w:style w:type="character" w:styleId="WW8Num2z0" w:customStyle="1">
    <w:name w:val="WW8Num2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3z0" w:customStyle="1">
    <w:name w:val="WW8Num3z0"/>
    <w:qFormat/>
    <w:rsid w:val="00b46be1"/>
    <w:rPr>
      <w:rFonts w:ascii="Arial" w:hAnsi="Arial" w:cs="Arial"/>
      <w:sz w:val="22"/>
      <w:szCs w:val="22"/>
    </w:rPr>
  </w:style>
  <w:style w:type="character" w:styleId="WW8Num5z0" w:customStyle="1">
    <w:name w:val="WW8Num5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6z0" w:customStyle="1">
    <w:name w:val="WW8Num6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7z0" w:customStyle="1">
    <w:name w:val="WW8Num7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9z0" w:customStyle="1">
    <w:name w:val="WW8Num9z0"/>
    <w:qFormat/>
    <w:rsid w:val="00b46be1"/>
    <w:rPr>
      <w:rFonts w:ascii="Arial" w:hAnsi="Arial" w:cs="Arial"/>
      <w:sz w:val="22"/>
      <w:szCs w:val="22"/>
    </w:rPr>
  </w:style>
  <w:style w:type="character" w:styleId="WW8Num10z0" w:customStyle="1">
    <w:name w:val="WW8Num10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11z0" w:customStyle="1">
    <w:name w:val="WW8Num11z0"/>
    <w:qFormat/>
    <w:rsid w:val="00b46be1"/>
    <w:rPr>
      <w:rFonts w:ascii="Arial" w:hAnsi="Arial" w:cs="Arial"/>
      <w:sz w:val="22"/>
      <w:szCs w:val="22"/>
    </w:rPr>
  </w:style>
  <w:style w:type="character" w:styleId="AbsatzStandardschriftart" w:customStyle="1">
    <w:name w:val="Absatz-Standardschriftart"/>
    <w:qFormat/>
    <w:rsid w:val="00b46be1"/>
    <w:rPr/>
  </w:style>
  <w:style w:type="character" w:styleId="Fontepargpadro5" w:customStyle="1">
    <w:name w:val="Fonte parág. padrão5"/>
    <w:qFormat/>
    <w:rsid w:val="00b46be1"/>
    <w:rPr/>
  </w:style>
  <w:style w:type="character" w:styleId="WWAbsatzStandardschriftart" w:customStyle="1">
    <w:name w:val="WW-Absatz-Standardschriftart"/>
    <w:qFormat/>
    <w:rsid w:val="00b46be1"/>
    <w:rPr/>
  </w:style>
  <w:style w:type="character" w:styleId="Fontepargpadro4" w:customStyle="1">
    <w:name w:val="Fonte parág. padrão4"/>
    <w:qFormat/>
    <w:rsid w:val="00b46be1"/>
    <w:rPr/>
  </w:style>
  <w:style w:type="character" w:styleId="Fontepargpadro3" w:customStyle="1">
    <w:name w:val="Fonte parág. padrão3"/>
    <w:qFormat/>
    <w:rsid w:val="00b46be1"/>
    <w:rPr/>
  </w:style>
  <w:style w:type="character" w:styleId="WWAbsatzStandardschriftart1" w:customStyle="1">
    <w:name w:val="WW-Absatz-Standardschriftart1"/>
    <w:qFormat/>
    <w:rsid w:val="00b46be1"/>
    <w:rPr/>
  </w:style>
  <w:style w:type="character" w:styleId="WWAbsatzStandardschriftart11" w:customStyle="1">
    <w:name w:val="WW-Absatz-Standardschriftart11"/>
    <w:qFormat/>
    <w:rsid w:val="00b46be1"/>
    <w:rPr/>
  </w:style>
  <w:style w:type="character" w:styleId="WWAbsatzStandardschriftart111" w:customStyle="1">
    <w:name w:val="WW-Absatz-Standardschriftart111"/>
    <w:qFormat/>
    <w:rsid w:val="00b46be1"/>
    <w:rPr/>
  </w:style>
  <w:style w:type="character" w:styleId="WWAbsatzStandardschriftart1111" w:customStyle="1">
    <w:name w:val="WW-Absatz-Standardschriftart1111"/>
    <w:qFormat/>
    <w:rsid w:val="00b46be1"/>
    <w:rPr/>
  </w:style>
  <w:style w:type="character" w:styleId="WWAbsatzStandardschriftart11111" w:customStyle="1">
    <w:name w:val="WW-Absatz-Standardschriftart11111"/>
    <w:qFormat/>
    <w:rsid w:val="00b46be1"/>
    <w:rPr/>
  </w:style>
  <w:style w:type="character" w:styleId="WWAbsatzStandardschriftart111111" w:customStyle="1">
    <w:name w:val="WW-Absatz-Standardschriftart111111"/>
    <w:qFormat/>
    <w:rsid w:val="00b46be1"/>
    <w:rPr/>
  </w:style>
  <w:style w:type="character" w:styleId="Fontepargpadro2" w:customStyle="1">
    <w:name w:val="Fonte parág. padrão2"/>
    <w:qFormat/>
    <w:rsid w:val="00b46be1"/>
    <w:rPr/>
  </w:style>
  <w:style w:type="character" w:styleId="WWAbsatzStandardschriftart1111111" w:customStyle="1">
    <w:name w:val="WW-Absatz-Standardschriftart1111111"/>
    <w:qFormat/>
    <w:rsid w:val="00b46be1"/>
    <w:rPr/>
  </w:style>
  <w:style w:type="character" w:styleId="WWAbsatzStandardschriftart11111111" w:customStyle="1">
    <w:name w:val="WW-Absatz-Standardschriftart11111111"/>
    <w:qFormat/>
    <w:rsid w:val="00b46be1"/>
    <w:rPr/>
  </w:style>
  <w:style w:type="character" w:styleId="WWAbsatzStandardschriftart111111111" w:customStyle="1">
    <w:name w:val="WW-Absatz-Standardschriftart111111111"/>
    <w:qFormat/>
    <w:rsid w:val="00b46be1"/>
    <w:rPr/>
  </w:style>
  <w:style w:type="character" w:styleId="WWAbsatzStandardschriftart1111111111" w:customStyle="1">
    <w:name w:val="WW-Absatz-Standardschriftart1111111111"/>
    <w:qFormat/>
    <w:rsid w:val="00b46be1"/>
    <w:rPr/>
  </w:style>
  <w:style w:type="character" w:styleId="WWAbsatzStandardschriftart11111111111" w:customStyle="1">
    <w:name w:val="WW-Absatz-Standardschriftart11111111111"/>
    <w:qFormat/>
    <w:rsid w:val="00b46be1"/>
    <w:rPr/>
  </w:style>
  <w:style w:type="character" w:styleId="WWAbsatzStandardschriftart111111111111" w:customStyle="1">
    <w:name w:val="WW-Absatz-Standardschriftart111111111111"/>
    <w:qFormat/>
    <w:rsid w:val="00b46be1"/>
    <w:rPr/>
  </w:style>
  <w:style w:type="character" w:styleId="WWAbsatzStandardschriftart1111111111111" w:customStyle="1">
    <w:name w:val="WW-Absatz-Standardschriftart1111111111111"/>
    <w:qFormat/>
    <w:rsid w:val="00b46be1"/>
    <w:rPr/>
  </w:style>
  <w:style w:type="character" w:styleId="WW8Num1z0" w:customStyle="1">
    <w:name w:val="WW8Num1z0"/>
    <w:qFormat/>
    <w:rsid w:val="00b46be1"/>
    <w:rPr>
      <w:rFonts w:ascii="Arial" w:hAnsi="Arial" w:cs="Arial"/>
      <w:sz w:val="22"/>
      <w:szCs w:val="22"/>
    </w:rPr>
  </w:style>
  <w:style w:type="character" w:styleId="WW8Num4z0" w:customStyle="1">
    <w:name w:val="WW8Num4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8z0" w:customStyle="1">
    <w:name w:val="WW8Num8z0"/>
    <w:qFormat/>
    <w:rsid w:val="00b46be1"/>
    <w:rPr>
      <w:rFonts w:ascii="Arial" w:hAnsi="Arial" w:cs="Arial"/>
      <w:sz w:val="16"/>
      <w:szCs w:val="16"/>
    </w:rPr>
  </w:style>
  <w:style w:type="character" w:styleId="WW8Num12z0" w:customStyle="1">
    <w:name w:val="WW8Num12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13z0" w:customStyle="1">
    <w:name w:val="WW8Num13z0"/>
    <w:qFormat/>
    <w:rsid w:val="00b46be1"/>
    <w:rPr>
      <w:rFonts w:ascii="Arial" w:hAnsi="Arial" w:cs="Arial"/>
      <w:sz w:val="22"/>
      <w:szCs w:val="22"/>
    </w:rPr>
  </w:style>
  <w:style w:type="character" w:styleId="WW8Num14z0" w:customStyle="1">
    <w:name w:val="WW8Num14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15z0" w:customStyle="1">
    <w:name w:val="WW8Num15z0"/>
    <w:qFormat/>
    <w:rsid w:val="00b46be1"/>
    <w:rPr>
      <w:rFonts w:ascii="Arial" w:hAnsi="Arial" w:cs="Arial"/>
      <w:sz w:val="22"/>
      <w:szCs w:val="22"/>
    </w:rPr>
  </w:style>
  <w:style w:type="character" w:styleId="WW8Num16z0" w:customStyle="1">
    <w:name w:val="WW8Num16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17z0" w:customStyle="1">
    <w:name w:val="WW8Num17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18z0" w:customStyle="1">
    <w:name w:val="WW8Num18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19z0" w:customStyle="1">
    <w:name w:val="WW8Num19z0"/>
    <w:qFormat/>
    <w:rsid w:val="00b46be1"/>
    <w:rPr>
      <w:rFonts w:ascii="Arial" w:hAnsi="Arial" w:cs="Arial"/>
      <w:sz w:val="22"/>
      <w:szCs w:val="22"/>
    </w:rPr>
  </w:style>
  <w:style w:type="character" w:styleId="WW8Num21z0" w:customStyle="1">
    <w:name w:val="WW8Num21z0"/>
    <w:qFormat/>
    <w:rsid w:val="00b46be1"/>
    <w:rPr>
      <w:rFonts w:ascii="Arial" w:hAnsi="Arial" w:cs="Arial"/>
      <w:sz w:val="22"/>
      <w:szCs w:val="22"/>
    </w:rPr>
  </w:style>
  <w:style w:type="character" w:styleId="WW8Num22z0" w:customStyle="1">
    <w:name w:val="WW8Num22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23z0" w:customStyle="1">
    <w:name w:val="WW8Num23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25z0" w:customStyle="1">
    <w:name w:val="WW8Num25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26z0" w:customStyle="1">
    <w:name w:val="WW8Num26z0"/>
    <w:qFormat/>
    <w:rsid w:val="00b46be1"/>
    <w:rPr>
      <w:rFonts w:ascii="Arial" w:hAnsi="Arial" w:cs="Arial"/>
      <w:b w:val="false"/>
      <w:i w:val="false"/>
      <w:sz w:val="22"/>
    </w:rPr>
  </w:style>
  <w:style w:type="character" w:styleId="WW8Num27z0" w:customStyle="1">
    <w:name w:val="WW8Num27z0"/>
    <w:qFormat/>
    <w:rsid w:val="00b46be1"/>
    <w:rPr>
      <w:rFonts w:ascii="Arial" w:hAnsi="Arial" w:cs="Arial"/>
      <w:sz w:val="22"/>
      <w:szCs w:val="22"/>
    </w:rPr>
  </w:style>
  <w:style w:type="character" w:styleId="WW8Num30z0" w:customStyle="1">
    <w:name w:val="WW8Num30z0"/>
    <w:qFormat/>
    <w:rsid w:val="00b46be1"/>
    <w:rPr>
      <w:rFonts w:ascii="Arial" w:hAnsi="Arial" w:cs="Arial"/>
      <w:sz w:val="22"/>
      <w:szCs w:val="22"/>
    </w:rPr>
  </w:style>
  <w:style w:type="character" w:styleId="WW8Num31z0" w:customStyle="1">
    <w:name w:val="WW8Num31z0"/>
    <w:qFormat/>
    <w:rsid w:val="00b46be1"/>
    <w:rPr>
      <w:rFonts w:ascii="Arial" w:hAnsi="Arial" w:cs="Arial"/>
      <w:sz w:val="22"/>
      <w:szCs w:val="22"/>
    </w:rPr>
  </w:style>
  <w:style w:type="character" w:styleId="Fontepargpadro1" w:customStyle="1">
    <w:name w:val="Fonte parág. padrão1"/>
    <w:qFormat/>
    <w:rsid w:val="00b46be1"/>
    <w:rPr/>
  </w:style>
  <w:style w:type="character" w:styleId="LinkdaInternet">
    <w:name w:val="Link da Internet"/>
    <w:rsid w:val="00b46be1"/>
    <w:rPr>
      <w:color w:val="0000FF"/>
      <w:u w:val="single"/>
    </w:rPr>
  </w:style>
  <w:style w:type="character" w:styleId="Pagenumber">
    <w:name w:val="page number"/>
    <w:basedOn w:val="Fontepargpadro1"/>
    <w:qFormat/>
    <w:rsid w:val="00b46be1"/>
    <w:rPr/>
  </w:style>
  <w:style w:type="character" w:styleId="Linkdainternetvisitado">
    <w:name w:val="Link da internet visitado"/>
    <w:rsid w:val="00b46be1"/>
    <w:rPr>
      <w:color w:val="800080"/>
      <w:u w:val="single"/>
    </w:rPr>
  </w:style>
  <w:style w:type="character" w:styleId="CorpodetextoChar" w:customStyle="1">
    <w:name w:val="Corpo de texto Char"/>
    <w:qFormat/>
    <w:rsid w:val="00b46be1"/>
    <w:rPr>
      <w:rFonts w:ascii="Arial" w:hAnsi="Arial" w:cs="Arial"/>
      <w:sz w:val="24"/>
      <w:szCs w:val="24"/>
    </w:rPr>
  </w:style>
  <w:style w:type="character" w:styleId="Smbolosdenumerao" w:customStyle="1">
    <w:name w:val="Símbolos de numeração"/>
    <w:qFormat/>
    <w:rsid w:val="00b46be1"/>
    <w:rPr/>
  </w:style>
  <w:style w:type="character" w:styleId="RodapChar" w:customStyle="1">
    <w:name w:val="Rodapé Char"/>
    <w:qFormat/>
    <w:rsid w:val="00b46be1"/>
    <w:rPr>
      <w:sz w:val="24"/>
      <w:szCs w:val="24"/>
    </w:rPr>
  </w:style>
  <w:style w:type="character" w:styleId="Strong">
    <w:name w:val="Strong"/>
    <w:qFormat/>
    <w:rsid w:val="00b46be1"/>
    <w:rPr>
      <w:b/>
      <w:bCs/>
    </w:rPr>
  </w:style>
  <w:style w:type="character" w:styleId="CorpodetextoChar1" w:customStyle="1">
    <w:name w:val="Corpo de texto Char1"/>
    <w:basedOn w:val="DefaultParagraphFont"/>
    <w:qFormat/>
    <w:rsid w:val="00b46be1"/>
    <w:rPr>
      <w:rFonts w:ascii="Arial" w:hAnsi="Arial" w:eastAsia="Times New Roman" w:cs="Arial"/>
      <w:sz w:val="24"/>
      <w:szCs w:val="24"/>
      <w:lang w:eastAsia="zh-CN"/>
    </w:rPr>
  </w:style>
  <w:style w:type="character" w:styleId="RecuodecorpodetextoChar" w:customStyle="1">
    <w:name w:val="Recuo de corpo de texto Char"/>
    <w:basedOn w:val="DefaultParagraphFont"/>
    <w:qFormat/>
    <w:rsid w:val="00b46be1"/>
    <w:rPr>
      <w:rFonts w:ascii="Arial" w:hAnsi="Arial" w:eastAsia="Times New Roman" w:cs="Arial"/>
      <w:sz w:val="24"/>
      <w:szCs w:val="24"/>
      <w:lang w:eastAsia="zh-CN"/>
    </w:rPr>
  </w:style>
  <w:style w:type="character" w:styleId="CabealhoChar" w:customStyle="1">
    <w:name w:val="Cabeçalho Char"/>
    <w:basedOn w:val="DefaultParagraphFont"/>
    <w:qFormat/>
    <w:rsid w:val="00b46be1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RodapChar1" w:customStyle="1">
    <w:name w:val="Rodapé Char1"/>
    <w:basedOn w:val="DefaultParagraphFont"/>
    <w:qFormat/>
    <w:rsid w:val="00b46be1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BalloonText"/>
    <w:qFormat/>
    <w:rsid w:val="00b46be1"/>
    <w:rPr>
      <w:rFonts w:ascii="Tahoma" w:hAnsi="Tahoma" w:eastAsia="Times New Roman" w:cs="Tahoma"/>
      <w:sz w:val="16"/>
      <w:szCs w:val="16"/>
      <w:lang w:eastAsia="zh-CN"/>
    </w:rPr>
  </w:style>
  <w:style w:type="character" w:styleId="Corpodetexto3Char" w:customStyle="1">
    <w:name w:val="Corpo de texto 3 Char"/>
    <w:basedOn w:val="DefaultParagraphFont"/>
    <w:link w:val="BodyText3"/>
    <w:uiPriority w:val="99"/>
    <w:semiHidden/>
    <w:qFormat/>
    <w:rsid w:val="00b46be1"/>
    <w:rPr>
      <w:rFonts w:ascii="Times New Roman" w:hAnsi="Times New Roman" w:eastAsia="Times New Roman" w:cs="Times New Roman"/>
      <w:sz w:val="16"/>
      <w:szCs w:val="16"/>
      <w:lang w:eastAsia="ar-SA"/>
    </w:rPr>
  </w:style>
  <w:style w:type="character" w:styleId="PrformataoHTMLChar" w:customStyle="1">
    <w:name w:val="Pré-formatação HTML Char"/>
    <w:basedOn w:val="DefaultParagraphFont"/>
    <w:link w:val="HTMLPreformatted"/>
    <w:uiPriority w:val="99"/>
    <w:semiHidden/>
    <w:qFormat/>
    <w:rsid w:val="00997a8b"/>
    <w:rPr>
      <w:rFonts w:ascii="Courier New" w:hAnsi="Courier New" w:eastAsia="Times New Roman" w:cs="Courier New"/>
      <w:sz w:val="20"/>
      <w:szCs w:val="20"/>
      <w:lang w:eastAsia="pt-BR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1"/>
    <w:rsid w:val="00b46be1"/>
    <w:pPr>
      <w:jc w:val="both"/>
    </w:pPr>
    <w:rPr>
      <w:rFonts w:ascii="Arial" w:hAnsi="Arial" w:cs="Arial"/>
    </w:rPr>
  </w:style>
  <w:style w:type="paragraph" w:styleId="Lista">
    <w:name w:val="List"/>
    <w:basedOn w:val="Corpodotexto"/>
    <w:rsid w:val="00b46be1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b46be1"/>
    <w:pPr>
      <w:suppressLineNumbers/>
    </w:pPr>
    <w:rPr>
      <w:rFonts w:cs="Mangal"/>
    </w:rPr>
  </w:style>
  <w:style w:type="paragraph" w:styleId="Ttulo51" w:customStyle="1">
    <w:name w:val="Título5"/>
    <w:basedOn w:val="Normal"/>
    <w:next w:val="Corpodotexto"/>
    <w:qFormat/>
    <w:rsid w:val="00b46be1"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Caption">
    <w:name w:val="caption"/>
    <w:basedOn w:val="Normal"/>
    <w:qFormat/>
    <w:rsid w:val="00b46be1"/>
    <w:pPr>
      <w:suppressLineNumbers/>
      <w:spacing w:before="120" w:after="120"/>
    </w:pPr>
    <w:rPr>
      <w:rFonts w:cs="Lohit Hindi"/>
      <w:i/>
      <w:iCs/>
    </w:rPr>
  </w:style>
  <w:style w:type="paragraph" w:styleId="Ttulo41" w:customStyle="1">
    <w:name w:val="Título4"/>
    <w:basedOn w:val="Normal"/>
    <w:next w:val="Corpodotexto"/>
    <w:qFormat/>
    <w:rsid w:val="00b46be1"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Ttulo31" w:customStyle="1">
    <w:name w:val="Título3"/>
    <w:basedOn w:val="Normal"/>
    <w:next w:val="Corpodotexto"/>
    <w:qFormat/>
    <w:rsid w:val="00b46be1"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Ttulo21" w:customStyle="1">
    <w:name w:val="Título2"/>
    <w:basedOn w:val="Normal"/>
    <w:next w:val="Corpodotexto"/>
    <w:qFormat/>
    <w:rsid w:val="00b46be1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rsid w:val="00b46be1"/>
    <w:pPr>
      <w:suppressLineNumbers/>
      <w:spacing w:before="120" w:after="120"/>
    </w:pPr>
    <w:rPr>
      <w:rFonts w:cs="Mangal"/>
      <w:i/>
      <w:iCs/>
    </w:rPr>
  </w:style>
  <w:style w:type="paragraph" w:styleId="Ttulo11" w:customStyle="1">
    <w:name w:val="Título1"/>
    <w:basedOn w:val="Normal"/>
    <w:next w:val="Corpodotexto"/>
    <w:qFormat/>
    <w:rsid w:val="00b46be1"/>
    <w:pPr>
      <w:jc w:val="center"/>
    </w:pPr>
    <w:rPr>
      <w:rFonts w:ascii="Arial Narrow" w:hAnsi="Arial Narrow" w:cs="Arial"/>
      <w:b/>
      <w:bCs/>
    </w:rPr>
  </w:style>
  <w:style w:type="paragraph" w:styleId="Legenda1" w:customStyle="1">
    <w:name w:val="Legenda1"/>
    <w:basedOn w:val="Normal"/>
    <w:qFormat/>
    <w:rsid w:val="00b46be1"/>
    <w:pPr>
      <w:suppressLineNumbers/>
      <w:spacing w:before="120" w:after="120"/>
    </w:pPr>
    <w:rPr>
      <w:rFonts w:cs="Mangal"/>
      <w:i/>
      <w:iCs/>
    </w:rPr>
  </w:style>
  <w:style w:type="paragraph" w:styleId="Corpodotextorecuado">
    <w:name w:val="Body Text Indent"/>
    <w:basedOn w:val="Normal"/>
    <w:link w:val="RecuodecorpodetextoChar"/>
    <w:rsid w:val="00b46be1"/>
    <w:pPr>
      <w:ind w:left="360" w:hanging="0"/>
      <w:jc w:val="both"/>
    </w:pPr>
    <w:rPr>
      <w:rFonts w:ascii="Arial" w:hAnsi="Arial"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b46be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1"/>
    <w:rsid w:val="00b46be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21" w:customStyle="1">
    <w:name w:val="Corpo de texto 21"/>
    <w:basedOn w:val="Normal"/>
    <w:qFormat/>
    <w:rsid w:val="00b46be1"/>
    <w:pPr>
      <w:ind w:right="-284" w:hanging="0"/>
      <w:jc w:val="both"/>
    </w:pPr>
    <w:rPr>
      <w:rFonts w:ascii="Arial" w:hAnsi="Arial" w:cs="Arial"/>
      <w:szCs w:val="20"/>
    </w:rPr>
  </w:style>
  <w:style w:type="paragraph" w:styleId="Recuodecorpodetexto21" w:customStyle="1">
    <w:name w:val="Recuo de corpo de texto 21"/>
    <w:basedOn w:val="Normal"/>
    <w:qFormat/>
    <w:rsid w:val="00b46be1"/>
    <w:pPr>
      <w:ind w:firstLine="709"/>
      <w:jc w:val="both"/>
    </w:pPr>
    <w:rPr>
      <w:rFonts w:ascii="Arial" w:hAnsi="Arial" w:cs="Arial"/>
      <w:sz w:val="22"/>
    </w:rPr>
  </w:style>
  <w:style w:type="paragraph" w:styleId="Corpodetexto31" w:customStyle="1">
    <w:name w:val="Corpo de texto 31"/>
    <w:basedOn w:val="Normal"/>
    <w:qFormat/>
    <w:rsid w:val="00b46be1"/>
    <w:pPr>
      <w:jc w:val="both"/>
    </w:pPr>
    <w:rPr>
      <w:rFonts w:ascii="Arial" w:hAnsi="Arial" w:cs="Arial"/>
      <w:sz w:val="22"/>
    </w:rPr>
  </w:style>
  <w:style w:type="paragraph" w:styleId="BalloonText">
    <w:name w:val="Balloon Text"/>
    <w:basedOn w:val="Normal"/>
    <w:link w:val="TextodebaloChar"/>
    <w:qFormat/>
    <w:rsid w:val="00b46be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b46be1"/>
    <w:pPr>
      <w:spacing w:before="280" w:after="280"/>
    </w:pPr>
    <w:rPr/>
  </w:style>
  <w:style w:type="paragraph" w:styleId="Contedodetabela" w:customStyle="1">
    <w:name w:val="Conteúdo de tabela"/>
    <w:basedOn w:val="Normal"/>
    <w:qFormat/>
    <w:rsid w:val="00b46be1"/>
    <w:pPr>
      <w:suppressLineNumbers/>
    </w:pPr>
    <w:rPr/>
  </w:style>
  <w:style w:type="paragraph" w:styleId="Contedodatabela" w:customStyle="1">
    <w:name w:val="Conteúdo da tabela"/>
    <w:basedOn w:val="Normal"/>
    <w:qFormat/>
    <w:rsid w:val="00b46be1"/>
    <w:pPr>
      <w:suppressLineNumbers/>
    </w:pPr>
    <w:rPr/>
  </w:style>
  <w:style w:type="paragraph" w:styleId="Ttulodetabela" w:customStyle="1">
    <w:name w:val="Título de tabela"/>
    <w:basedOn w:val="Contedodetabela"/>
    <w:qFormat/>
    <w:rsid w:val="00b46be1"/>
    <w:pPr>
      <w:jc w:val="center"/>
    </w:pPr>
    <w:rPr>
      <w:b/>
      <w:bCs/>
    </w:rPr>
  </w:style>
  <w:style w:type="paragraph" w:styleId="Contedodequadro" w:customStyle="1">
    <w:name w:val="Conteúdo de quadro"/>
    <w:basedOn w:val="Corpodotexto"/>
    <w:qFormat/>
    <w:rsid w:val="00b46be1"/>
    <w:pPr/>
    <w:rPr/>
  </w:style>
  <w:style w:type="paragraph" w:styleId="Contedodoquadro" w:customStyle="1">
    <w:name w:val="Conteúdo do quadro"/>
    <w:basedOn w:val="Corpodotexto"/>
    <w:qFormat/>
    <w:rsid w:val="00b46be1"/>
    <w:pPr/>
    <w:rPr/>
  </w:style>
  <w:style w:type="paragraph" w:styleId="ListParagraph">
    <w:name w:val="List Paragraph"/>
    <w:basedOn w:val="Normal"/>
    <w:uiPriority w:val="34"/>
    <w:qFormat/>
    <w:rsid w:val="00b46be1"/>
    <w:pPr>
      <w:suppressAutoHyphens w:val="false"/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BodyText3">
    <w:name w:val="Body Text 3"/>
    <w:basedOn w:val="Normal"/>
    <w:link w:val="Corpodetexto3Char"/>
    <w:uiPriority w:val="99"/>
    <w:semiHidden/>
    <w:unhideWhenUsed/>
    <w:qFormat/>
    <w:rsid w:val="00b46be1"/>
    <w:pPr>
      <w:spacing w:before="0" w:after="120"/>
    </w:pPr>
    <w:rPr>
      <w:sz w:val="16"/>
      <w:szCs w:val="16"/>
      <w:lang w:eastAsia="ar-SA"/>
    </w:rPr>
  </w:style>
  <w:style w:type="paragraph" w:styleId="HTMLPreformatted">
    <w:name w:val="HTML Preformatted"/>
    <w:basedOn w:val="Normal"/>
    <w:link w:val="PrformataoHTMLChar"/>
    <w:uiPriority w:val="99"/>
    <w:semiHidden/>
    <w:unhideWhenUsed/>
    <w:qFormat/>
    <w:rsid w:val="00997a8b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b46be1"/>
    <w:pPr>
      <w:spacing w:after="0" w:line="240" w:lineRule="auto"/>
    </w:pPr>
    <w:rPr>
      <w:lang w:eastAsia="pt-BR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Application>LibreOffice/7.3.5.2$Windows_X86_64 LibreOffice_project/184fe81b8c8c30d8b5082578aee2fed2ea847c01</Application>
  <AppVersion>15.0000</AppVersion>
  <Pages>5</Pages>
  <Words>1686</Words>
  <Characters>8935</Characters>
  <CharactersWithSpaces>10475</CharactersWithSpaces>
  <Paragraphs>124</Paragraphs>
  <Company>IFSUL Campus Pelotas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2022-05-24T17:23:00Z</dcterms:created>
  <dc:creator>daiani</dc:creator>
  <dc:description/>
  <dc:language>pt-BR</dc:language>
  <cp:lastModifiedBy/>
  <cp:lastPrinted>2023-02-13T14:28:58Z</cp:lastPrinted>
  <dcterms:modified xsi:type="dcterms:W3CDTF">2023-03-07T17:18:53Z</dcterms:modified>
  <cp:revision>126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